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A6" w:rsidRPr="009839A6" w:rsidRDefault="009839A6" w:rsidP="009839A6">
      <w:pPr>
        <w:pStyle w:val="ConsPlusNormal"/>
        <w:ind w:firstLine="540"/>
        <w:jc w:val="both"/>
      </w:pPr>
      <w:bookmarkStart w:id="0" w:name="_GoBack"/>
      <w:r w:rsidRPr="009839A6">
        <w:t>Статья 16. Порядок оформления результатов проверки</w:t>
      </w:r>
    </w:p>
    <w:p w:rsidR="009839A6" w:rsidRPr="009839A6" w:rsidRDefault="009839A6" w:rsidP="009839A6">
      <w:pPr>
        <w:pStyle w:val="ConsPlusNormal"/>
        <w:ind w:firstLine="540"/>
        <w:jc w:val="both"/>
      </w:pP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Комментарий к статье 16</w:t>
      </w:r>
    </w:p>
    <w:p w:rsidR="009839A6" w:rsidRPr="009839A6" w:rsidRDefault="009839A6" w:rsidP="009839A6">
      <w:pPr>
        <w:pStyle w:val="ConsPlusNormal"/>
        <w:ind w:firstLine="540"/>
        <w:jc w:val="both"/>
      </w:pP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1. Комментируемая статья определяет порядок оформления результатов проверки. Ранее этот порядок был определен в ст. 9 Закона 2001 г. о защите прав при проведении контроля, положения которой и воспроизведены, но со значительной долей детализации, о чем подробнее сказано ниже. </w:t>
      </w:r>
      <w:proofErr w:type="gramStart"/>
      <w:r w:rsidRPr="009839A6">
        <w:t>Здесь же следует отметить, что в комментируемую статью не вошло положение п. 3 ст. 9 Закона 2001 г. о защите прав при проведении контроля, согласно которому в случае выявления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законодательством РФ об административных правонарушениях, и даются предписания об устранении выявленных нарушений.</w:t>
      </w:r>
      <w:proofErr w:type="gramEnd"/>
      <w:r w:rsidRPr="009839A6">
        <w:t xml:space="preserve"> Дело в том, что данная норма вошла в противоречие с нормами принятого позднее КоАП РФ, на что обращалось внимание в п. 1 письма </w:t>
      </w:r>
      <w:proofErr w:type="spellStart"/>
      <w:r w:rsidRPr="009839A6">
        <w:t>Роспотребнадзора</w:t>
      </w:r>
      <w:proofErr w:type="spellEnd"/>
      <w:r w:rsidRPr="009839A6">
        <w:t xml:space="preserve"> от 7 марта 2006 г. N 0100/2473-06-32 "О разъяснении отдельных положений действующего законодательства".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В соответствии с ч. 1 комментируемой статьи по результатам проверки должностными лицами органа государственного контроля (надзора), органа муниципального контроля, проводящими проверку, должен быть составлен акт по установленной форме в двух экземплярах. </w:t>
      </w:r>
      <w:proofErr w:type="gramStart"/>
      <w:r w:rsidRPr="009839A6">
        <w:t>Об этом же говорилось и в п. 1 ст. 9 Закона 2001 г. о защите прав при проведении контроля (речь шла, соответственно, об оформлении результатов мероприятия по контролю, а в качестве лиц, составляющих акт, назывались только должностные лица органа государственного контроля (надзора)), однако при этом не уточнялось, кем форма акта устанавливается.</w:t>
      </w:r>
      <w:proofErr w:type="gramEnd"/>
      <w:r w:rsidRPr="009839A6">
        <w:t xml:space="preserve"> Понятно, что при этом подразумевались федеральные органы исполнительной власти, уполномоченные Правительством РФ, но прямое указание на это появилось только в ч. 1 комментируемой статьи.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Нововведением же можно считать то, что соответствующими уполномоченными федеральными органами исполнительной власти утверждаются типовые акты проверок, оформляемые в рамках проведения не только федерального, но и регионального государственного контроля (надзора), а также в рамках проведения муниципального контроля.</w:t>
      </w:r>
    </w:p>
    <w:p w:rsidR="009839A6" w:rsidRPr="009839A6" w:rsidRDefault="009839A6" w:rsidP="009839A6">
      <w:pPr>
        <w:pStyle w:val="ConsPlusNormal"/>
        <w:ind w:firstLine="540"/>
        <w:jc w:val="both"/>
      </w:pPr>
      <w:proofErr w:type="gramStart"/>
      <w:r w:rsidRPr="009839A6">
        <w:t>На основании п. 1 ст. 9 Закона 2001 г. о защите прав при проведении контроля типовые формы актов проверок утверждались федеральными органами исполнительной власти при принятии административных регламентов проведения проверок при осуществлении федерального государственного контроля (надзора) в качестве приложений к таким административным регламентам (о названных административных регламентах см. комментарий к ст. 4 Закона).</w:t>
      </w:r>
      <w:proofErr w:type="gramEnd"/>
      <w:r w:rsidRPr="009839A6">
        <w:t xml:space="preserve"> Могли издаваться и самостоятельные нормативные правовые акты федеральных органов исполнительной власти, утверждавшие типовые формы актов проверок. В частности: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Приказом </w:t>
      </w:r>
      <w:proofErr w:type="spellStart"/>
      <w:r w:rsidRPr="009839A6">
        <w:t>Мининформсвязи</w:t>
      </w:r>
      <w:proofErr w:type="spellEnd"/>
      <w:r w:rsidRPr="009839A6">
        <w:t xml:space="preserve"> России от 10 ноября 2005 г. N 128 "Об утверждении формы акта проверки деятельности в области связи" &lt;1&gt; утверждены форма акта проверки деятельности в области связи и Рекомендации по заполнению акта проверки деятельности в области связи;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--------------------------------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&lt;1&gt; БНА ФОИВ. 2005. N 48.</w:t>
      </w:r>
    </w:p>
    <w:p w:rsidR="009839A6" w:rsidRPr="009839A6" w:rsidRDefault="009839A6" w:rsidP="009839A6">
      <w:pPr>
        <w:pStyle w:val="ConsPlusNormal"/>
        <w:ind w:firstLine="540"/>
        <w:jc w:val="both"/>
      </w:pP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Приказом Росздравнадзора от 9 июня 2006 г. N 1379-Пр/06 "Об утверждении форм актов проверок по производству лекарственных средств" &lt;1&gt; утверждены формы актов проверок "Акт проверки возможности выполнения лицензионных требований и условий производства лекарственных средств" и "Акт проверки соблюдения лицензионных требований и условий производства лекарственных средств";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--------------------------------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&lt;1&gt; Бюллетень нормативно-справочной информации по надзору в сфере здравоохранения и социального развития. 2006. </w:t>
      </w:r>
      <w:proofErr w:type="spellStart"/>
      <w:r w:rsidRPr="009839A6">
        <w:t>Вып</w:t>
      </w:r>
      <w:proofErr w:type="spellEnd"/>
      <w:r w:rsidRPr="009839A6">
        <w:t>. 7.</w:t>
      </w:r>
    </w:p>
    <w:p w:rsidR="009839A6" w:rsidRPr="009839A6" w:rsidRDefault="009839A6" w:rsidP="009839A6">
      <w:pPr>
        <w:pStyle w:val="ConsPlusNormal"/>
        <w:ind w:firstLine="540"/>
        <w:jc w:val="both"/>
      </w:pP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Приказом Росздравнадзора от 28 февраля 2007 г. N 434-Пр/07 "Об утверждении формы акта проверки" &lt;1&gt; утверждена форма "Акт проверки оказания медицинской помощи".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--------------------------------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&lt;1&gt; Бюллетень нормативно-справочной информации по надзору в сфере здравоохранения и социального развития. 2007. </w:t>
      </w:r>
      <w:proofErr w:type="spellStart"/>
      <w:r w:rsidRPr="009839A6">
        <w:t>Вып</w:t>
      </w:r>
      <w:proofErr w:type="spellEnd"/>
      <w:r w:rsidRPr="009839A6">
        <w:t>. 4.</w:t>
      </w:r>
    </w:p>
    <w:p w:rsidR="009839A6" w:rsidRPr="009839A6" w:rsidRDefault="009839A6" w:rsidP="009839A6">
      <w:pPr>
        <w:pStyle w:val="ConsPlusNormal"/>
        <w:ind w:firstLine="540"/>
        <w:jc w:val="both"/>
      </w:pP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lastRenderedPageBreak/>
        <w:t>2. Часть 2 комментируемой статьи определяет исчерпывающий перечень сведений, которые подлежат указанию в акте проверки: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1) дата, время и место составления акта проверки;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2) наименование органа государственного контроля (надзора) или органа муниципального контроля;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4) фамилии, имена, отчества и должности должностного лица или должностных лиц, проводивших проверку;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9839A6">
        <w:t>присутствовавших</w:t>
      </w:r>
      <w:proofErr w:type="gramEnd"/>
      <w:r w:rsidRPr="009839A6">
        <w:t xml:space="preserve"> при проведении проверки;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6) дата, время, продолжительность и место проведения проверки;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9839A6" w:rsidRPr="009839A6" w:rsidRDefault="009839A6" w:rsidP="009839A6">
      <w:pPr>
        <w:pStyle w:val="ConsPlusNormal"/>
        <w:ind w:firstLine="540"/>
        <w:jc w:val="both"/>
      </w:pPr>
      <w:proofErr w:type="gramStart"/>
      <w:r w:rsidRPr="009839A6"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9839A6">
        <w:t xml:space="preserve"> с отсутствием у юридического лица, индивидуального предпринимателя указанного журнала;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9) подписи должностного лица или должностных лиц, проводивших проверку.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Практически такой же перечень сведений, включаемых в акт проверки, предусматривался в п. 1 ст. 9 Закона 2001 г. о защите прав при проведении контроля. Изменения незначительны, и носят они по большей части терминологический характер. Кроме того, учтены расширение сферы применения комментируемого Закона за счет включения в нее муниципального контроля, изменение наименований, служащих основанием проведения проверки документов, а также уточнен перечень лиц, присутствовавших при проведении проверки. Но есть и отдельные изменения по существу. Так, ранее не предусматривалось указание в акте продолжительности проведения проверки, сведений о внесении в журнал учета проверок записи о проведенной проверке либо о невозможности внесения такой записи.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Следует отметить, что, как и ранее, для случаев, когда по результатам проверки нарушения не выявлены, внесение в акт проверки сведений об отсутствии выявленных нарушений прямо не предусмотрено. Тем не </w:t>
      </w:r>
      <w:proofErr w:type="gramStart"/>
      <w:r w:rsidRPr="009839A6">
        <w:t>менее</w:t>
      </w:r>
      <w:proofErr w:type="gramEnd"/>
      <w:r w:rsidRPr="009839A6">
        <w:t xml:space="preserve"> представляется очевидным, что указание таких сведений подразумевается в словах "в том числе" в п. 7 ч. 2 комментируемой статьи.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3. В части 3 комментируемой статьи определен перечень документов, которые или копии которых подлежат включению в приложения к акту проверки: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протоколы отбора образцов продукции, проб обследования объектов окружающей среды и объектов производственной среды;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протоколы или заключения проведенных исследований, испытаний и экспертиз;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предписания об устранении выявленных нарушений;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иные связанные с результатами проверки документы или их копии.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По сути, такой же перечень документов, прилагаемых к акту проверки, был определен в п. 1 ст. 9 Закона 2001 г. о защите прав при проведении контроля. Изменения носят лишь терминологический характер, но за одним исключением - ранее не предусматривалось приложение к акту проверки предписания об устранении выявленных нарушений.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4 - 5. В положениях ч. 4 и 5 комментируемой статьи определен порядок оформления и вручения акта проверки. </w:t>
      </w:r>
      <w:proofErr w:type="gramStart"/>
      <w:r w:rsidRPr="009839A6">
        <w:t xml:space="preserve">Регламентируя данный вопрос, норма п. 2 ст. 9 Закона 2001 г. о защите прав при проведении контроля предусматривала следующее: один экземпляр акта с копиями </w:t>
      </w:r>
      <w:r w:rsidRPr="009839A6">
        <w:lastRenderedPageBreak/>
        <w:t>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вручении, которое приобщается к экземпляру акта, остающемуся в деле органа государственного контроля</w:t>
      </w:r>
      <w:proofErr w:type="gramEnd"/>
      <w:r w:rsidRPr="009839A6">
        <w:t xml:space="preserve"> (надзора).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Как видно, эти положения в комментируемой статье значительно детализированы. Прежде всего, в ч. 4 статьи установлено, что акт проверки подлежит оформлению непосредственно после ее завершения. Возможность составления акта в более поздний срок предусмотрена в ч. 5 статьи только для случаев, когда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экспертиз. В этом случае акт проверки согласно данной норме должен быть составлен в срок, не превышающий трех рабочих дней после завершения мероприятий по контролю (о понятии рабочих дней см. комментарий к ст. 8 Закона).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В части 4 комментируемой статьи установлено, что один экземпляр акта проверки (в норме указано, что акт составляется в двух экземплярах, но это лишь дублирование правила ч. 1 данной статьи) с копиями приложений подлежит вручению проверенному субъекту или его представителю. Об этом шла речь и ранее, но в рассматриваемой норме уточнен круг лиц, которым может быть вручен экземпляр акта: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О представительстве юридического лица, индивидуального предпринимателя при проведении проверки см. комментарий к ст. 2 Закона.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В соответствии с ч. 4 комментируемой статьи акт проверки вручается под расписку об ознакомлении либо об отказе в ознакомлении с актом проверки (в ч. 5 данной статьи просто указано, что под расписку, но при этом с очевидностью подразумевается, что под одну из указанных расписок). </w:t>
      </w:r>
      <w:proofErr w:type="gramStart"/>
      <w:r w:rsidRPr="009839A6">
        <w:t>При этом на случай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на случай отказа проверяемого лица дать расписку об ознакомлении либо об отказе в ознакомлении с актом проверки данная норма предусматривает, что акт направляется заказным почтовым отправлением с уведомлением о вручении (представляется очевидным, что об этих же случаях речь идет</w:t>
      </w:r>
      <w:proofErr w:type="gramEnd"/>
      <w:r w:rsidRPr="009839A6">
        <w:t xml:space="preserve"> и в норме ч. 5 комментируемой статьи).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Уведомление о вручении согласно ч. 4 и 5 комментируемой статьи подлежит приобщению к экземпляру акта проверки, хранящемуся в деле органа государственного контроля (надзора) или органа муниципального контроля. О понятии почтового отправления с уведомлением о вручении см. комментарий к ст. 9 Закона.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Непредставление акта проверки согласно п. 6 ч. 2 ст. 20 комментируемого Закона относится к грубым нарушениям требований данного Закона, т.е. в соответствии с ч. 1 указанной статьи является безусловным основанием для признания результатов проверки недействительными.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6. В норме ч. 6 комментируемой статьи содержится нововведение, предопределенное другим нововведением, содержащимся в норме ч. 5 ст. 10 комментируемого Закона. </w:t>
      </w:r>
      <w:proofErr w:type="gramStart"/>
      <w:r w:rsidRPr="009839A6">
        <w:t>Согласно второй из указанных норм внеплановая выездная проверка юридических лиц, индивидуальных предпринимателей, относящихся в соответствии с законодательством РФ к субъектам малого или среднего предпринимательства, может быть проведена по основаниям, указанным в подп. "а" и "б" п. 2 ч. 2 данной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</w:t>
      </w:r>
      <w:proofErr w:type="gramEnd"/>
      <w:r w:rsidRPr="009839A6">
        <w:t>, индивидуальных предпринимателей.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Соответственно, для случаев, когда требовалось такое согласование, в ч. 6 комментируемой статьи предусмотрено, что в орган прокуратуры, которым принято решение о согласовании проведения внеплановой выездной проверки, подлежит направлению копия акта проверки (следует подчеркнуть, что именно копия, а не экземпляр акта). </w:t>
      </w:r>
      <w:proofErr w:type="gramStart"/>
      <w:r w:rsidRPr="009839A6">
        <w:t>Направлена копия акта в соответствующий орган прокуратуры должна</w:t>
      </w:r>
      <w:proofErr w:type="gramEnd"/>
      <w:r w:rsidRPr="009839A6">
        <w:t xml:space="preserve"> быть в течение пяти рабочих дней со дня составления акта проверки (о понятии рабочих дней см. комментарий к ст. 8 Закона).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7. </w:t>
      </w:r>
      <w:proofErr w:type="gramStart"/>
      <w:r w:rsidRPr="009839A6">
        <w:t xml:space="preserve">В развитие установленного в п. 5 ст. 15 комментируемого Закона запрета должностным лицам органа государственного контроля (надзора), органа муниципального контроля при проведении проверки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 (за исключением случаев, предусмотренных законодательством РФ), в ч. 7 комментируемой статьи предусмотрено, что результаты проверки, содержащие информацию, составляющую </w:t>
      </w:r>
      <w:r w:rsidRPr="009839A6">
        <w:lastRenderedPageBreak/>
        <w:t>государственную, коммерческую, служебную</w:t>
      </w:r>
      <w:proofErr w:type="gramEnd"/>
      <w:r w:rsidRPr="009839A6">
        <w:t>, иную тайну, должны оформляться с соблюдением требований, предусмотренных законодательством РФ. Подобное правило содержалось в п. 4 ст. 9 Закона 2001 г. о защите прав при проведении контроля, но оно было предназначено только для случаев оформления результатов мероприятия по контролю, содержащих сведения, составляющие государственную тайну.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О законодательстве РФ, которым установлены требования к защите информации ограниченного доступа и которое, соответственно, подлежит применению при оформлении результатов проверки, содержащих информацию ограниченного доступа, см. комментарий к ст. 15 Закона.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8 - 11. В положениях ч. 8 - 11 комментируемой статьи регламентировано ведение журнала учета проверок, причем во многом это регулирование воспроизводит ранее содержавшееся в п. 5 ст. 9 Закона 2001 г. о защите прав при проведении контроля в отношении ведения журнала учета мероприятий по контролю. Но есть и различия, первое из которых - изменение названия журнала (вместо журнала учета мероприятий по контролю речь идет о журнале учета проверок).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Часть 8 комментируемой статьи закрепляет обязанность юридических лиц и индивидуальных предпринимателей вести журнал учета проверок. Данная обязанность предусматривалась и ранее, но теперь федеральным органам исполнительной власти, уполномоченным Правительством РФ, предоставлено полномочие по утверждению типовых форм таких журналов. Соответственно, журнал учета проверок должен вестись по установленной типовой форме.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В части 9 комментируемой статьи установлено, что должностные лица органа государственного контроля (надзора), органа муниципального контроля, проводившие проверку, вносят запись в журнал учета проверок о проведенной проверке. Данное правило продублировано в п. 13 ст. 18 комментируемого Закона в качестве обязанности указанных должностных лиц.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В части 9 комментируемой статьи также определены требования к содержанию указанной записи. Так, в записи должны быть указаны следующие сведения: наименование органа государственного контроля (надзора), наименование органа муниципального контроля; даты начала и окончания проведения проверки, время ее проведения; правовые основания, цели, задачи и предмет проверки; выявленные нарушения и выданные предписания; фамилии, имена, отчества и должности должностного лица или должностных лиц, проводящих проверку. Соответственно, предусмотрено, что запись заверяется подписью или подписями должностного лица или должностных лиц, проводящих проверку.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Практически такие же требования к записи, вносимой должностным лицом органа государственного контроля (надзора) в журнал учета мероприятий по контролю, содержались и в п. 5 ст. 9 Закона 2001 г. о защите прав при проведении контроля. Единственное, что изменилось, это отсутствие указания на необходимость внесения в журнал сведений о составленных протоколах, об административных правонарушениях (видимо, подразумевались протоколы об административных правонарушениях).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Следует отметить, что, как и ранее, для случаев, когда по результатам проверки нарушения не выявлены, внесение в журнал в составе записи о проведенной проверке сведений об отсутствии выявленных нарушений прямо не предусмотрено. Тем не </w:t>
      </w:r>
      <w:proofErr w:type="gramStart"/>
      <w:r w:rsidRPr="009839A6">
        <w:t>менее</w:t>
      </w:r>
      <w:proofErr w:type="gramEnd"/>
      <w:r w:rsidRPr="009839A6">
        <w:t xml:space="preserve"> представляется очевидным, что указание таких сведений подразумевается.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В соответствии с ч. 10 комментируемой статьи журнал учета проверок должен быть прошит, пронумерован и удостоверен печатью юридического лица, индивидуального предпринимателя. Точно такие же требования ранее содержались и в п. 5 ст. 9 Закона 2001 г. о защите прав при проведении контроля.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Как предусмотрено в ч. 11 комментируемой статьи, при отсутствии журнала учета проверок в акте проверки делается соответствующая запись (т.е. запись о том, что такой журнал не ведется). Такое же правило содержалось и в п. 5 ст. 9 Закона 2001 г. о защите прав при проведении контроля. Исходя из положений ч. 8, 10 и 11, соответствующая запись в акте проверки должна быть сделана также в случае, если журнал учета проверок ведется не по установленной форме, и в случае, если журнал учета проверок не прошит, не пронумерован и (или) не удостоверен печатью юридического лица, индивидуального предпринимателя.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 xml:space="preserve">12. </w:t>
      </w:r>
      <w:proofErr w:type="gramStart"/>
      <w:r w:rsidRPr="009839A6">
        <w:t xml:space="preserve">Часть 12 комментируемой статьи содержит нововведение о праве юридического лица, индивидуального предпринимателя,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представить возражения в отношении акта проверки и (или) </w:t>
      </w:r>
      <w:r w:rsidRPr="009839A6">
        <w:lastRenderedPageBreak/>
        <w:t>выданного предписания об устранении выявленных нарушений в целом или его отдельных положений.</w:t>
      </w:r>
      <w:proofErr w:type="gramEnd"/>
      <w:r w:rsidRPr="009839A6">
        <w:t xml:space="preserve"> В отношении порядка реализации этого права в данной норме предусмотрено следующее:</w:t>
      </w:r>
    </w:p>
    <w:p w:rsidR="009839A6" w:rsidRPr="009839A6" w:rsidRDefault="009839A6" w:rsidP="009839A6">
      <w:pPr>
        <w:pStyle w:val="ConsPlusNormal"/>
        <w:ind w:firstLine="540"/>
        <w:jc w:val="both"/>
      </w:pPr>
      <w:proofErr w:type="gramStart"/>
      <w:r w:rsidRPr="009839A6">
        <w:t>возражения представляются в письменной форме в соответствующие орган государственного контроля (надзора), орган муниципального контроля (т.е. в орган, должностными лицами которого проводилась проверка) в течение 15 дней с даты получения акта проверки.</w:t>
      </w:r>
      <w:proofErr w:type="gramEnd"/>
      <w:r w:rsidRPr="009839A6">
        <w:t xml:space="preserve"> Речь идет о календарных днях, поскольку при определении сроков в рабочих днях в нормах комментируемого Закона на это содержится прямое указание;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при представлении возражений юридическое лицо, индивидуальный предприниматель вправе приложить к этим возражениям документы, подтверждающие обоснованность этих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</w:t>
      </w:r>
    </w:p>
    <w:p w:rsidR="009839A6" w:rsidRPr="009839A6" w:rsidRDefault="009839A6" w:rsidP="009839A6">
      <w:pPr>
        <w:pStyle w:val="ConsPlusNormal"/>
        <w:ind w:firstLine="540"/>
        <w:jc w:val="both"/>
      </w:pPr>
      <w:proofErr w:type="gramStart"/>
      <w:r w:rsidRPr="009839A6">
        <w:t>В положениях ч. 12 комментируемой статьи несложно увидеть аналогию с нормой п. 6 ст. 100 части первой НК РФ (здесь и далее в ред. Федерального закона от 27 июля 2006 г. N 137-ФЗ), в которой предусмотрено, что лицо, в отношении которого проводилась налоговая проверка (его представитель), в случае несогласия с фактами, изложенными в акте налоговой проверки, а также с выводами</w:t>
      </w:r>
      <w:proofErr w:type="gramEnd"/>
      <w:r w:rsidRPr="009839A6">
        <w:t xml:space="preserve">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положениям. Там же предусмотрено, что при этом налогоплательщик вправе приложить к письменным возражениям или в согласованный срок передать в налоговый орган документы (их заверенные копии), подтверждающие обоснованность своих возражений. В то же время в указанной норме с учетом положения п. 6 ст. 6.1 данного Кодекса речь идет о рабочих, а не о календарных днях.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Наряду с предусмотренным в ч. 12 комментируемой статьи правом представить возражения, юридическое лицо, индивидуальный предприниматель, проверка которых проводилась, вправе обжаловать результаты проверки в административном порядке или оспорить их в судебном порядке (см. комментарии к ст. 21 и 23 Закона). В этой связи необходимо отметить один момент. Как следует из разъяснений, данных в п. 29 Постановления Пленума Высшего Арбитражного Суда РФ от 28 февраля 2001 г. N 5 "О некоторых вопросах применения части первой Налогового кодекса Российской Федерации" &lt;1&gt; в отношении п. 5 ст. 100 части первой НК РФ - норм</w:t>
      </w:r>
      <w:proofErr w:type="gramStart"/>
      <w:r w:rsidRPr="009839A6">
        <w:t>ы-</w:t>
      </w:r>
      <w:proofErr w:type="gramEnd"/>
      <w:r w:rsidRPr="009839A6">
        <w:t xml:space="preserve">"предшественницы" п. 6 указанной статьи (т.е. до внесения изменений Федеральным законом от 27 июля 2006 г. </w:t>
      </w:r>
      <w:proofErr w:type="gramStart"/>
      <w:r w:rsidRPr="009839A6">
        <w:t>N 137-ФЗ), при обжаловании или оспаривании результатов проверки юридическое лицо, индивидуальный предприниматель, проверка которых проводилась, вправе представить, а орган, рассматривающий жалобу, или суд, рассматривающий заявление, обязаны принять и оценить документы и иные доказательства, независимо от того, представлялись ли эти документы одновременно с возражениями в орган, должностными лицами которого проводилась проверка.</w:t>
      </w:r>
      <w:proofErr w:type="gramEnd"/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--------------------------------</w:t>
      </w:r>
    </w:p>
    <w:p w:rsidR="009839A6" w:rsidRPr="009839A6" w:rsidRDefault="009839A6" w:rsidP="009839A6">
      <w:pPr>
        <w:pStyle w:val="ConsPlusNormal"/>
        <w:ind w:firstLine="540"/>
        <w:jc w:val="both"/>
      </w:pPr>
      <w:r w:rsidRPr="009839A6">
        <w:t>&lt;1&gt; Вестник ВАС РФ. 2001. N 7.</w:t>
      </w:r>
    </w:p>
    <w:bookmarkEnd w:id="0"/>
    <w:p w:rsidR="0039019E" w:rsidRPr="009839A6" w:rsidRDefault="0039019E" w:rsidP="009839A6"/>
    <w:sectPr w:rsidR="0039019E" w:rsidRPr="00983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0"/>
    <w:rsid w:val="000110D0"/>
    <w:rsid w:val="0039019E"/>
    <w:rsid w:val="004767B4"/>
    <w:rsid w:val="004B13EC"/>
    <w:rsid w:val="004F7B49"/>
    <w:rsid w:val="005E7EBC"/>
    <w:rsid w:val="00694C1A"/>
    <w:rsid w:val="006F0165"/>
    <w:rsid w:val="009839A6"/>
    <w:rsid w:val="00A250E3"/>
    <w:rsid w:val="00B057B2"/>
    <w:rsid w:val="00B079DB"/>
    <w:rsid w:val="00B3394E"/>
    <w:rsid w:val="00DD3DF4"/>
    <w:rsid w:val="00DD74B5"/>
    <w:rsid w:val="00E52F87"/>
    <w:rsid w:val="00E94090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12939</Words>
  <Characters>7376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2015-11-10T20:07:00Z</dcterms:created>
  <dcterms:modified xsi:type="dcterms:W3CDTF">2015-11-10T20:07:00Z</dcterms:modified>
</cp:coreProperties>
</file>